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PORTARIA Nº 197, DE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MARÇO DE 2017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8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Define os procedimentos da Supervisão de Gestão de Alvarás para cumprimento de ordens judiciais no âmbito das Unidades Prisionais do Sistema Penitenciário do Maranhão, e dá outras providências.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 a necessidade de impor segurança e celeridade ao cumprimento das ordens judiciais de soltura;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 a necessidade de cumprimento da Resolução nº 108, de 06 de abril de 2010, do Conselho Nacional de Justiça, que regulamenta o cumprimento de alvarás de soltura em 24 horas a partir da expedição;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0" w:after="0" w:line="252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 o que dispõem o artigo 289-A do Código de Processo Penal e a Resolução nº 137, de 13 de julho de 2011, do Conselho Nacional de Justiça, que regulamenta o banco de dados de mandados de prisão;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outrossim, o Provimentonº. 24/2016, da Corregedoria Geral da Justiça do Poder Judiciário do Maranhão, que institui e regulamenta, no âmbito da Justiça de 1º grau, o uso do Alvará de Soltura Eletrônico por meio do Sistema Malote Digital e dá outras providências,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SECRETÁRIO DE ESTADO DE ADMINISTRAÇÃO PENITENCIÁRIA DO ESTADO DO MARANHÃO, no uso de suas atribuições, que lhe conferem o inciso II do art. 69 da Constituição do Estado do Maranhão, no inciso II do art. 3° do Decreto Estadual n° 27.549, de 13 de julho de 2011,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RESOLVE: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CAPÍTULO 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DAS DISPOSIÇÕES GERAIS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1º. A Supervisão de Gestão de Alvarás – SGA, subordinada a Secretaria Adjunta de Segurança Penitenciária – SASP, é responsável pelo recebimento de ordens judiciais, nos termos desta Portaria,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intermediando o fiel atendimento destas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através da emissão de Instrução Técnica às unidades prisionais pertencentes ao Sistema Penitenciário gerido pela Secretaria de Estado de Administração Penitenciária do Maranhão – SEAP-MA.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 A SGA funcionará em regime de plantão, de 8 às 22 horas, de segunda a sexta, e aos sábados, domingos e feriados, das 10 às 22 horas.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CAPÍTULO II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 COMPETÊNCIA DA SUPERVISÃO DE GESTÃO DE ALVARÁS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2º. Compete a SGA a emissão da Instrução Técnica referente a decisão judicial com força de alvará de soltura, de imposição alternativa à prisão ou que influa na alteração da situação de custódia da pessoa presa, sendo elas: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imposição de medida cautelar diversa, com força de alvará de soltura;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concessão de prisão domiciliar;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- livramento condicional;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IV - progressão para o regime prisional semiaberto, com ou sem trabalho externo;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 - progressão para regime prisional aberto;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 - transferência para unidade com método APAC (Associação de Proteção e Assistência aos Condenados);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VII - extinção de pena.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único.As Instruções Técnicas referentes aos incisos IV e VI deverão obedecer ao modelo específico contido no Anexo I desta Portaria.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Seção 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Caráter Revisional de Atuação da SGA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3º.Para a elaboração da Instrução Técnica a SGA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considerará os determinantes de prisão contidos na Ficha de Resumo Processual – FRP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elaborada pelo Especialista Penitenciário Jurídico da Unidade Prisional,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devendo avaliar se: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I - todos os determinantes de prisão estão nela detalhados;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II - os determinantes de prisão estão atualizados.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§1º.Conforme o caso, verificada a inexistência ou inconsistência da FRP elaborada pela Unidade Prisional, a Supervisão de Assistência Jurídica – SAJdeverá sercomunicada via e-mail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saj@seap.ma.gov.br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juntamente com aInstrução Técnicaelaborada pela SGA.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§2º. A SAJ deverá apurar o motivo da inexistência ou inconsistência da FRP, tomando as providências necessárias para a correção, responsabilizando quem lhe deu causa, se for o caso, de modo a evitar a perpetuação do problema.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§3º. A SGA manterá classificação contemplando a existência de erros identificados dentre todas as Unidades Prisionais, devendo informar mensalmente o os titulares da Secretaria de Estado, Subsecretaria e das Secretarias Adjuntas de Segurança Penitenciária e de Atendimento e Humanização Penitenciária.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4º. Compete a SGAa manutenção da lista de todos os usuários desta SEAPresponsáveis pelo manuseio do Sistema Malote Digital.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Seção II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Procedimento para a Emissão de Instrução Técnica de Ordem Judicial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5º. A Instrução Técnica, conforme Anexos I e II desta Portaria, será composta pela: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qualificação simplificada da pessoa presa beneficiada;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indicação do processo de qual se originou a decisão judicial;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- análise detalhada da situação processual criminal; e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IV - conclusão pela liberdade, manutenção da prisão ou transferência, conforme o caso.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§1º. O documento deverá ser concluído no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prazo máximo de duas horas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a contar do efetivo recebimento, e sempre apresentará conclusão fundamentada indicativa de qualquer uma das possibilidades previstas no inciso IV deste artigo.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§2º. Deverão ser justificados na própria Instrução Técnica os casos que excederem o tempo previsto no parágrafo anterior.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6º. A SGA, na elaboração da Instrução Técnica,está vinculada aos seguintes procedimentos: 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receber a ordem judicial de soltura através dos seguintes meios: se eletrônico, pelo sistema de Malote Digital ou, se físico, através do correio eletrônico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alvaras@seap.ma.gov.br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podendo, neste último caso, esta ser admitida tanto através da Unidade Prisional, pela Diretoria/Secretaria Judicial ou Oficial de Justiça;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realizar controle de distribuição interna de demandas entre os seus Especialistas Penitenciários, através de controle próprio, devendo a análise abranger os seguintes sistemas de informação: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a) Sistema de Inteligência e Informação em Segurança Penitenciária - SIISP (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https://siisp.ma.gov.br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), notadamente a Ficha de Resumo Processual e ordens de prisão existentes;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b) Sistema Juriconsult/Sentinela (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http://jurisconsult.tjma.jus.br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do Tribunal de Justiça do Estado do Maranhão: d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iscriminar a natureza do processo (inquérito, ação penal, pedido acessório), bem como a situação em relação a prisão (preso preventivamente em DD/MM/AAA ou sentenciado sem direito de apelar em liberdade etc.), dentre outras possibilidades;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c) Sistema Processual da Justiça Federal na Seção Judiciária do Maranhão (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http://portal.trf1.jus.br/sjma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e Tribunal Federal da 1ª Região;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d) Banco Nacional de Mandados de Prisão - BNMP (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http://www.cnj.jus.br/bnmp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), em conformidade com o artigo 289-A do CPP eResolução nº 137, de 13 de julho de 2011, do Conselho Nacional de Justiça;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e) Sistema Integrado de Gestão Operacional - SIGO (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http://www.sigo.ma.gov.br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f) Sistema VEP/CNJ (</w:t>
      </w: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https://vepcnj.tjma.jus.br/VEPCNJ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), das Varas de Execuções Penais do Poder Judiciário do Estado do Maranhão e de outras unidades da federação, conforme o caso;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§1º. Após concluída,a Instrução Técnicadeverá ser encaminhada imediatamente à Unidade Prisional responsável, via malote digital, para cumprimento imediato.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§2º. Se no prazo de elaboração da Instrução Técnica estiverem fora do ar os sistemas previstos nas alíneas “b”, “c”, “f” e “g”, a SGA providenciará as respectivas certidões, fundamentando a análise com base nos sistemas indicados nas alíneas “a” e “d” deste artigo, respeitando os limites temporais da Resolução nº 108, de 06 de abril de 2010 do Conselho Nacional de Justiça.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§3º. Na hipótese de movimentações processuais inconclusivas ou de processos que corram em segredo de justiça, inexistindo informações no Sistema SIISP indicativas de prisão, a SGA respeitará as informações contidas no sistema previsto na alínea “d” deste artigo para a elaboração da Instrução Técnica de cumprimento de ordem judicial de soltura.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7º. O cumprimento de decisão judicial de transferência para unidade prisional de regime semiaberto será orientada por Instrução Técnicade caráter analítico, conforme Anexo I desta Portaria, que considerará a inexistência de impedimentos para a pessoa presa poder fruir do tipo de custódia menos rigoroso. São impedimentos para tanto a: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prisão preventiva;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sentença penal condenatória com força de prisão em regime fechado;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- decisão de regressão de regime.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CAPÍTULO III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 RESPONSABILIDADE DA DIREÇÃO DA UNIDADE PRISIONAL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8º. Compete à direção da Unidade Prisional: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controlar as diligências dos Oficiais de Justiça, cuidando sempre para que via de igual teor de qualquer documento judicial destinado à pessoa presa seja juntado no PGPJ;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manter atualizada as informações processuais e prisionais referentes ao preso(a) no Sistema SIISP, fazendo constar neste igual teor (espelho) do PGPJ, sob pena de responsabilidade;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- manter atualizado no SIISP a FRP;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IV - encaminhar à SGA, caso a pessoa presa ainda não esteja devidamente cadastrada no SIISP ou este esteja inoperante, informação que possa subsidiar a análise;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 - receber, por meio do Malote Digital, a Instrução Técnica elaborada pela SGA, devendo executar as orientações nele contidas;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 - dar efetivo e imediato cumprimento à ordem liberatória, em conformidade com a Instrução Técnica da SGA, colhendo a assinatura da pessoa presa no alvará ou decisão com mesma força, e elaborando o Despacho/Certidão, conforme modelo contido no Anexo III;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VII - encaminhar imediatamente o Despacho/Certidão e a decisão judicial de soltura com o ciente da pessoa presa ao juízo competente, via Malote Digital;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VIII - consultar a SGA em caso de dúvida.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§1º.O Despacho/Certidão previsto no inciso VI deste artigo será assinado pelos dois servidores de mais alta hierarquia e responsáveis pela correta e segura identificação do preso através do Sistema SIISP, via biometria ou demais recursos existentes.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§2º.A Direção da Unidade Prisional deverá manter rigorosamente atualizados o e-mail oficial e os números corporativos de seus telefones, a fim de ser facilmente contatada, sob pena de responsabilidade.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9º. Considera-se finalizado o cumprimento da ordem judicial de soltura: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no caso do alvará eletrônico: com o envio e disponibilização, pela Unidade Prisional, do protocolo de envio através do Malote Digital do Despacho/Certidão e ordem judicial de soltura assinados pela pessoa beneficiada;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no caso do alvará cumprido via oficial de justiça: com a entrega do Despacho/Certidão e cópia da ordem judicial de soltura assinados pela pessoa beneficiada.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 A pessoa beneficiada com ordem judicial de soltura com força de alvará, em todo o caso, sendo colocada em liberdade ou não, deverá assinar tanto o Despacho/Certidão quanto o documento alvará, para fins de formalização de sua ciência.</w:t>
      </w:r>
    </w:p>
    <w:p>
      <w:pPr>
        <w:spacing w:before="0" w:after="0" w:line="240"/>
        <w:ind w:right="0" w:left="0" w:firstLine="1134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CAPÍTULO IV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CARÁTER REVISIONAL DE ATUAÇÃO DA SGA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10. A SGA deverá manter os seguintes relatórios de diagnóstico: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inconsistência ou ausência de informações nos sistemas de informação processual e policial;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- qualidade da informação consignada na Ficha de Resumo Processual elaborada pelo Especialista Penitenciário Jurídico atuante na Unidade Prisional, conforme escala própria a ser elaborada.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 Referidos controles têm por finalidade a otimização dos sistemas de informação utilizados por esta SEAP-MA.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CAPÍTULO V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DAS DISPOSIÇÕES GERAIS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11. Para a emissão da Instrução Técnica, a SGA deve ter amplo acesso a decisão de soltura expedida pelo Poder Judiciário.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12. As ordens judiciais de soltura poderão ser encaminhadas à SGA pelo próprio Poder Judiciário, através das Secretarias Judiciais, Central de Mandados da Comarca da Ilha de São Luís ou dos Oficiais de Justiça.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13. As demandas de análises diversas que objetivem apurar a regularidade de prisões ou a atualização de FRP deverão ser direcionadas à SAJ.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14. Fica revogada a Portaria nº 261, de 12 de abril de 2016.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15. Esta Portaria entra em vigor na data de sua publicação.</w:t>
      </w:r>
    </w:p>
    <w:p>
      <w:pPr>
        <w:spacing w:before="0" w:after="0" w:line="240"/>
        <w:ind w:right="0" w:left="0" w:firstLine="113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DÊ-SE CIÊNCIA. PUBLIQUE-SE. CUMPRA-SE.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MURILO ANDRADE DE OLIVEIRA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Secretário de Estado de Administração Penitenciária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ANEXO I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INSTRUÇÃO TÉCNICA - TRANSFERÊNCIA PARA UNIDADE PRISIONAL COMPATÍVEL COM O REGIME SEMIABERTO OU APAC.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PRESO(A)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: &lt;&lt;NOME COMPLETO DO PRESO&gt;&gt;, filiação: &lt;&lt;NOME DA MÃE e NOME DO PAI&gt;&gt;, nascido em DD/MM/AAAA.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Ilmo. Diretor Geral da &lt;&lt;NOME DA UNIDADE PRISIONAL&gt;&gt;,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Com fundamento Portaria nº. XXX, de DD/MM/AAA, que versa sobre a análise da Ficha de Resumo Processual para cumprimento de transferência para Unidade Prisional compatível com o regime semiaberto ou de motodologia APAC.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Ficha de Resumo Processual - FRP elaborada em, DD/MM/AA, pelo Especialista Penitenciário Jurídico - EPJ: &lt;&lt;NOME COMPLETO&gt;&gt;, matrícula nº NNNN.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Após as devidas pesquisas, ratifico os ternos da FRP e instruo pelo cumprimento de TRANSFERÊNCIA PARA UNIDADE COMPATÍVEL COM O REGIME PRISIONAL SEMIABERTO, com as formalidades legais.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São Luís/MA, DATA/HORA.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&lt;&lt;Especialista Penitenciário Jurídico - Matrícula&gt;&gt;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ANEXO II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INSTRUÇÃO TÉCNICA - CUMPRIMENTO DE ORDEM JUDICIAL DE SOLTURA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PROCESSO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Nº NNNNNNN-DD.AAAA.J.TR.OOOO (NNNNAAAA) - VARA, COMARCA DE &lt;&lt;NOME&gt;&gt;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PRESO(A):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&lt;&lt;NOME COMPLETO DO PRESO&gt;&gt;, filiação cadastrada no SIISP: &lt;&lt;NOME DA MÃE e DO PAI&gt;&gt;, nascido em DD/MM/AAAA.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UNIDADE PRISIONAL: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&lt;&lt;SIGLA&gt;&gt;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Sistema de Inteligência, Informação e Segurança Prisional – SIISP: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&lt;&lt;Conforme FRP em anexo&gt;&gt;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Sentinela – Tribunal de Justiça do Estado do Maranhão – TJMA: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Processo nº. NNNNNNN-DD.AAAA.J.TR.OOOO (NNNNAAAA)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Situação: </w:t>
            </w:r>
          </w:p>
        </w:tc>
      </w:tr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[...]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Vara de Execuções Penais – VEP/CNJ: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Processo Originário nº. NNNNNNN-DD.AAAA.J.TR.OOOO (NNNNAAAA) – Guia nº. NNNN.</w:t>
            </w:r>
          </w:p>
        </w:tc>
      </w:tr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[...]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Banco Nacional de Mandados de Prisão – BNMP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&lt;&lt;Indicar a existência ou não de ordem de prisão pendente&gt;&gt;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Tribunal Regional da Justiça Federal 1ª Região – TRF1: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Nada consta.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8494"/>
      </w:tblGrid>
      <w:tr>
        <w:trPr>
          <w:trHeight w:val="1" w:hRule="atLeast"/>
          <w:jc w:val="left"/>
        </w:trPr>
        <w:tc>
          <w:tcPr>
            <w:tcW w:w="849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Sistema Integrado de Gestão Operacional – SIGO: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Nada consta.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Isto posto, esta Instrução Técnica, conforme detalhamento acima realizado,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orienta o cumprimento da ordem judicial em epígrafe, para colocar o nacional acima qualificado em liberdade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, pois inexistem impedimentos a sua soltura.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São Luís/MA, DATA/HORA.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&lt;&lt;Especialista Penitenciário Jurídico – Matrícula&gt;&gt;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ANEXO III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DESPACHO/CERTIDÃO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CUMPRIMENTO DE ORDEM JUDICIAL DE SOLTURA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PROCESSO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Nº NNNNNNN-DD.AAAA.J.TR.OOOO (NNNNAAAA) - VARA, COMARCA DE &lt;&lt;NOME&gt;&gt;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PRESO(A):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&lt;&lt;NOME COMPLETO DO PRESO&gt;&gt;, filiação cadastrada no SIISP: &lt;&lt;NOME DA MÃE e DO PAI&gt;&gt;, nascido em DD/MM/AAAA.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UNIDADE PRISIONAL: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&lt;&lt;SIGLA&gt;&gt;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Aos DD dias do mês MMMMM do ano de AAAA, em cumprimento da decisão judicial de soltura referente ao processo em epígrafe, apresentada pelo Oficial(a) de Justiça &lt;&lt;Nome Completodo Oficial de Justiça e Matrícula&gt;&gt;/&lt;&lt;Malote Digital&gt;&gt;, informo que o nacionalacima indicado: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 ) Foi posto em liberdade nesta data, com as devidasformalidades legais, conforme condições constantes na referidadecisão liberatória.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 ) Teve cumprida a decisão judicial de soltura, no entanto foimantido custodiado por força do(s) seguintes motivos: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1. &lt;&lt;Processo/Vara/Comarca&gt;&gt;, responde &lt;&lt;natureza da prisão&gt;&gt;;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2. ...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3. ...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Dê-se ciência ao Juiz competente.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Junte-se cópia do PGPJ do preso e Sistema SIISP.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&lt;&lt;ASSINATURA&gt;&gt;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SERVIDOR1/CARGONA UNIDADE PRISIONAL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&lt;&lt;ASSINATURA&gt;&gt;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SERVIDOR1/CARGO NA UNIDADE PRISIONAL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jurisconsult.tjma.jus.br/" Id="docRId3" Type="http://schemas.openxmlformats.org/officeDocument/2006/relationships/hyperlink"/><Relationship TargetMode="External" Target="https://vepcnj.tjma.jus.br/VEPCNJ" Id="docRId7" Type="http://schemas.openxmlformats.org/officeDocument/2006/relationships/hyperlink"/><Relationship TargetMode="External" Target="mailto:saj@seap.ma.gov.br" Id="docRId0" Type="http://schemas.openxmlformats.org/officeDocument/2006/relationships/hyperlink"/><Relationship TargetMode="External" Target="https://siisp.ma.gov.br/" Id="docRId2" Type="http://schemas.openxmlformats.org/officeDocument/2006/relationships/hyperlink"/><Relationship TargetMode="External" Target="http://portal.trf1.jus.br/sjma" Id="docRId4" Type="http://schemas.openxmlformats.org/officeDocument/2006/relationships/hyperlink"/><Relationship TargetMode="External" Target="http://www.sigo.ma.gov.br/" Id="docRId6" Type="http://schemas.openxmlformats.org/officeDocument/2006/relationships/hyperlink"/><Relationship Target="numbering.xml" Id="docRId8" Type="http://schemas.openxmlformats.org/officeDocument/2006/relationships/numbering"/><Relationship TargetMode="External" Target="mailto:alvaras@seap.ma.gov.br" Id="docRId1" Type="http://schemas.openxmlformats.org/officeDocument/2006/relationships/hyperlink"/><Relationship TargetMode="External" Target="http://www.cnj.jus.br/bnmp" Id="docRId5" Type="http://schemas.openxmlformats.org/officeDocument/2006/relationships/hyperlink"/><Relationship Target="styles.xml" Id="docRId9" Type="http://schemas.openxmlformats.org/officeDocument/2006/relationships/styles"/></Relationships>
</file>